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40" w:lineRule="exact"/>
        <w:jc w:val="both"/>
        <w:rPr>
          <w:rFonts w:ascii="Arial" w:hAnsi="Arial" w:cs="Arial"/>
          <w:sz w:val="24"/>
          <w:szCs w:val="24"/>
        </w:rPr>
      </w:pPr>
      <w:r>
        <w:rPr>
          <w:rFonts w:ascii="Arial" w:hAnsi="Arial" w:cs="Arial"/>
          <w:sz w:val="24"/>
          <w:szCs w:val="24"/>
        </w:rPr>
        <w:t xml:space="preserve">Na podlagi Zakona o javnih financah (ZJF) (UPB4 - </w:t>
      </w:r>
      <w:proofErr w:type="spellStart"/>
      <w:r>
        <w:rPr>
          <w:rFonts w:ascii="Arial" w:hAnsi="Arial" w:cs="Arial"/>
          <w:sz w:val="24"/>
          <w:szCs w:val="24"/>
        </w:rPr>
        <w:t>Ur.l</w:t>
      </w:r>
      <w:proofErr w:type="spellEnd"/>
      <w:r>
        <w:rPr>
          <w:rFonts w:ascii="Arial" w:hAnsi="Arial" w:cs="Arial"/>
          <w:sz w:val="24"/>
          <w:szCs w:val="24"/>
        </w:rPr>
        <w:t xml:space="preserve">. RS, št. 11/2011, 14/13-popr., 101/13, 55/15 – </w:t>
      </w:r>
      <w:proofErr w:type="spellStart"/>
      <w:r>
        <w:rPr>
          <w:rFonts w:ascii="Arial" w:hAnsi="Arial" w:cs="Arial"/>
          <w:sz w:val="24"/>
          <w:szCs w:val="24"/>
        </w:rPr>
        <w:t>ZFisP</w:t>
      </w:r>
      <w:proofErr w:type="spellEnd"/>
      <w:r>
        <w:rPr>
          <w:rFonts w:ascii="Arial" w:hAnsi="Arial" w:cs="Arial"/>
          <w:sz w:val="24"/>
          <w:szCs w:val="24"/>
        </w:rPr>
        <w:t xml:space="preserve"> in 96/15 – ZIPRS1617), Pravilnika o postopkih za izvrševanje proračuna Republike Slovenije (Uradni list RS, št. 50/07, 61/08, 99/09-ZIPRS1011, 3/13 in 81/16) in Pravilnika o sofinanciranju  programov ostalih društev in organizacij v občini Vitanje (Ur. l. RS, št. 38/05 in 16/08) v skladu z odlokom o proračunu občine Vitanje 2025 in letnim programom Občine Vitanje za kulturo in družbene dejavnosti Občine Vitanje 2025 objavljamo</w:t>
      </w:r>
    </w:p>
    <w:p>
      <w:pPr>
        <w:spacing w:line="340" w:lineRule="exact"/>
        <w:jc w:val="both"/>
        <w:rPr>
          <w:rFonts w:ascii="Arial" w:hAnsi="Arial" w:cs="Arial"/>
          <w:sz w:val="24"/>
          <w:szCs w:val="24"/>
        </w:rPr>
      </w:pPr>
    </w:p>
    <w:p>
      <w:pPr>
        <w:spacing w:line="340" w:lineRule="exact"/>
        <w:jc w:val="both"/>
        <w:rPr>
          <w:rFonts w:ascii="Arial" w:hAnsi="Arial" w:cs="Arial"/>
          <w:sz w:val="24"/>
          <w:szCs w:val="24"/>
        </w:rPr>
      </w:pPr>
    </w:p>
    <w:p>
      <w:pPr>
        <w:spacing w:line="340" w:lineRule="exact"/>
        <w:jc w:val="both"/>
        <w:rPr>
          <w:rFonts w:ascii="Arial" w:hAnsi="Arial" w:cs="Arial"/>
          <w:b/>
          <w:sz w:val="24"/>
          <w:szCs w:val="24"/>
        </w:rPr>
      </w:pPr>
      <w:r>
        <w:rPr>
          <w:rFonts w:ascii="Arial" w:hAnsi="Arial" w:cs="Arial"/>
          <w:b/>
          <w:sz w:val="24"/>
          <w:szCs w:val="24"/>
        </w:rPr>
        <w:t>javni razpis za sofinanciranje programov ostalih društev in organizacij v občini Vitanje v letu 2025</w:t>
      </w:r>
    </w:p>
    <w:p>
      <w:pPr>
        <w:spacing w:line="340" w:lineRule="exact"/>
        <w:jc w:val="both"/>
        <w:rPr>
          <w:rFonts w:ascii="Arial" w:hAnsi="Arial" w:cs="Arial"/>
          <w:b/>
          <w:sz w:val="24"/>
          <w:szCs w:val="24"/>
        </w:rPr>
      </w:pPr>
    </w:p>
    <w:p>
      <w:pPr>
        <w:spacing w:line="340" w:lineRule="exact"/>
        <w:jc w:val="both"/>
        <w:rPr>
          <w:rFonts w:ascii="Arial" w:hAnsi="Arial" w:cs="Arial"/>
          <w:sz w:val="24"/>
          <w:szCs w:val="24"/>
        </w:rPr>
      </w:pPr>
      <w:r>
        <w:rPr>
          <w:rFonts w:ascii="Arial" w:hAnsi="Arial" w:cs="Arial"/>
          <w:b/>
          <w:sz w:val="24"/>
          <w:szCs w:val="24"/>
        </w:rPr>
        <w:t>1. Naročnik</w:t>
      </w:r>
      <w:r>
        <w:rPr>
          <w:rFonts w:ascii="Arial" w:hAnsi="Arial" w:cs="Arial"/>
          <w:sz w:val="24"/>
          <w:szCs w:val="24"/>
        </w:rPr>
        <w:t xml:space="preserve"> je Občina Vitanje, Grajski trg 1, 3205 Vitanje.</w:t>
      </w:r>
    </w:p>
    <w:p>
      <w:pPr>
        <w:spacing w:line="340" w:lineRule="exact"/>
        <w:jc w:val="both"/>
        <w:rPr>
          <w:rFonts w:ascii="Arial" w:hAnsi="Arial" w:cs="Arial"/>
          <w:sz w:val="24"/>
          <w:szCs w:val="24"/>
        </w:rPr>
      </w:pPr>
      <w:r>
        <w:rPr>
          <w:rFonts w:ascii="Arial" w:hAnsi="Arial" w:cs="Arial"/>
          <w:b/>
          <w:sz w:val="24"/>
          <w:szCs w:val="24"/>
        </w:rPr>
        <w:t>2. Predmet</w:t>
      </w:r>
      <w:r>
        <w:rPr>
          <w:rFonts w:ascii="Arial" w:hAnsi="Arial" w:cs="Arial"/>
          <w:sz w:val="24"/>
          <w:szCs w:val="24"/>
        </w:rPr>
        <w:t xml:space="preserve"> javnega razpisa  je sofinanciranje programov društev in organizacij v letu 2025, ki so v interesu občine in niso registrirana kot kulturna oz. športna in izvajajo programe v občini oz. za občane občine Vitanje z naslednjimi vsebinami:</w:t>
      </w:r>
    </w:p>
    <w:p>
      <w:pPr>
        <w:spacing w:line="340" w:lineRule="exact"/>
        <w:jc w:val="both"/>
        <w:rPr>
          <w:rFonts w:ascii="Arial" w:hAnsi="Arial" w:cs="Arial"/>
          <w:sz w:val="24"/>
        </w:rPr>
      </w:pPr>
      <w:r>
        <w:rPr>
          <w:rFonts w:ascii="Arial" w:hAnsi="Arial" w:cs="Arial"/>
          <w:sz w:val="24"/>
        </w:rPr>
        <w:t xml:space="preserve">a) dejavnost registriranih društev in organizacij, ki imajo pomen za občane občine Vitanje,            </w:t>
      </w:r>
    </w:p>
    <w:p>
      <w:pPr>
        <w:spacing w:line="340" w:lineRule="exact"/>
        <w:jc w:val="both"/>
        <w:rPr>
          <w:rFonts w:ascii="Arial" w:hAnsi="Arial" w:cs="Arial"/>
          <w:sz w:val="24"/>
        </w:rPr>
      </w:pPr>
      <w:r>
        <w:rPr>
          <w:rFonts w:ascii="Arial" w:hAnsi="Arial" w:cs="Arial"/>
          <w:sz w:val="24"/>
        </w:rPr>
        <w:t>b) prireditve in projekte, ki so v interesu občine.</w:t>
      </w:r>
      <w:r>
        <w:rPr>
          <w:rFonts w:ascii="Arial" w:hAnsi="Arial" w:cs="Arial"/>
          <w:sz w:val="24"/>
          <w:szCs w:val="24"/>
        </w:rPr>
        <w:t xml:space="preserve"> </w:t>
      </w:r>
    </w:p>
    <w:p>
      <w:pPr>
        <w:spacing w:line="340" w:lineRule="exact"/>
        <w:jc w:val="both"/>
        <w:rPr>
          <w:rFonts w:ascii="Arial" w:hAnsi="Arial" w:cs="Arial"/>
          <w:b/>
          <w:sz w:val="24"/>
          <w:szCs w:val="24"/>
        </w:rPr>
      </w:pPr>
    </w:p>
    <w:p>
      <w:pPr>
        <w:spacing w:line="340" w:lineRule="exact"/>
        <w:jc w:val="both"/>
        <w:rPr>
          <w:rFonts w:ascii="Arial" w:hAnsi="Arial" w:cs="Arial"/>
          <w:b/>
          <w:sz w:val="24"/>
          <w:szCs w:val="24"/>
        </w:rPr>
      </w:pPr>
      <w:r>
        <w:rPr>
          <w:rFonts w:ascii="Arial" w:hAnsi="Arial" w:cs="Arial"/>
          <w:b/>
          <w:sz w:val="24"/>
          <w:szCs w:val="24"/>
        </w:rPr>
        <w:t xml:space="preserve">3. Razpisni pogoji: </w:t>
      </w:r>
    </w:p>
    <w:p>
      <w:pPr>
        <w:spacing w:line="340" w:lineRule="exact"/>
        <w:jc w:val="both"/>
        <w:rPr>
          <w:rFonts w:ascii="Arial" w:hAnsi="Arial" w:cs="Arial"/>
          <w:sz w:val="24"/>
          <w:szCs w:val="24"/>
        </w:rPr>
      </w:pPr>
      <w:r>
        <w:rPr>
          <w:rFonts w:ascii="Arial" w:hAnsi="Arial" w:cs="Arial"/>
          <w:sz w:val="24"/>
          <w:szCs w:val="24"/>
        </w:rPr>
        <w:t>Na javni razpis se lahko prijavijo izvajalci programov, ki izpolnjujejo naslednje pogoje:</w:t>
      </w:r>
    </w:p>
    <w:p>
      <w:pPr>
        <w:spacing w:line="340" w:lineRule="exact"/>
        <w:jc w:val="both"/>
        <w:rPr>
          <w:rFonts w:ascii="Arial" w:hAnsi="Arial" w:cs="Arial"/>
          <w:sz w:val="24"/>
        </w:rPr>
      </w:pPr>
      <w:r>
        <w:rPr>
          <w:rFonts w:ascii="Arial" w:hAnsi="Arial" w:cs="Arial"/>
          <w:sz w:val="24"/>
        </w:rPr>
        <w:t>- da imajo sedež v občini Vitanje ali da izvajajo programe za občane občine Vitanje,</w:t>
      </w:r>
    </w:p>
    <w:p>
      <w:pPr>
        <w:spacing w:line="340" w:lineRule="exact"/>
        <w:jc w:val="both"/>
        <w:rPr>
          <w:rFonts w:ascii="Arial" w:hAnsi="Arial" w:cs="Arial"/>
          <w:sz w:val="24"/>
        </w:rPr>
      </w:pPr>
      <w:r>
        <w:rPr>
          <w:rFonts w:ascii="Arial" w:hAnsi="Arial" w:cs="Arial"/>
          <w:sz w:val="24"/>
        </w:rPr>
        <w:t xml:space="preserve">- da so registrirani za izvajanje programov, s katerimi kandidirajo za sofinanciranje,  </w:t>
      </w:r>
    </w:p>
    <w:p>
      <w:pPr>
        <w:spacing w:line="340" w:lineRule="exact"/>
        <w:jc w:val="both"/>
        <w:rPr>
          <w:rFonts w:ascii="Arial" w:hAnsi="Arial" w:cs="Arial"/>
          <w:sz w:val="24"/>
        </w:rPr>
      </w:pPr>
      <w:r>
        <w:rPr>
          <w:rFonts w:ascii="Arial" w:hAnsi="Arial" w:cs="Arial"/>
          <w:sz w:val="24"/>
        </w:rPr>
        <w:t>- da imajo zagotovljene materialne, prostorske, kadrovske in organizacijske pogoje za izvajanje predlaganih aktivnosti,</w:t>
      </w:r>
    </w:p>
    <w:p>
      <w:pPr>
        <w:spacing w:line="340" w:lineRule="exact"/>
        <w:jc w:val="both"/>
        <w:rPr>
          <w:rFonts w:ascii="Arial" w:hAnsi="Arial" w:cs="Arial"/>
          <w:sz w:val="24"/>
        </w:rPr>
      </w:pPr>
      <w:r>
        <w:rPr>
          <w:rFonts w:ascii="Arial" w:hAnsi="Arial" w:cs="Arial"/>
          <w:sz w:val="24"/>
        </w:rPr>
        <w:t>- da redno izvajajo svojo dejavnost,</w:t>
      </w:r>
    </w:p>
    <w:p>
      <w:pPr>
        <w:spacing w:line="340" w:lineRule="exact"/>
        <w:jc w:val="both"/>
        <w:rPr>
          <w:rFonts w:ascii="Arial" w:hAnsi="Arial" w:cs="Arial"/>
          <w:sz w:val="24"/>
        </w:rPr>
      </w:pPr>
      <w:r>
        <w:rPr>
          <w:rFonts w:ascii="Arial" w:hAnsi="Arial" w:cs="Arial"/>
          <w:sz w:val="24"/>
        </w:rPr>
        <w:t>- da imajo urejeno evidenco o članstvu in ostalo dokumentacijo, kot to določa zakonodaja.</w:t>
      </w:r>
    </w:p>
    <w:p>
      <w:pPr>
        <w:spacing w:line="340" w:lineRule="exact"/>
        <w:jc w:val="both"/>
        <w:rPr>
          <w:rFonts w:ascii="Arial" w:hAnsi="Arial" w:cs="Arial"/>
          <w:b/>
          <w:sz w:val="24"/>
          <w:szCs w:val="24"/>
        </w:rPr>
      </w:pPr>
    </w:p>
    <w:p>
      <w:pPr>
        <w:spacing w:line="340" w:lineRule="exact"/>
        <w:jc w:val="both"/>
        <w:rPr>
          <w:rFonts w:ascii="Arial" w:hAnsi="Arial" w:cs="Arial"/>
          <w:b/>
          <w:sz w:val="24"/>
          <w:szCs w:val="24"/>
        </w:rPr>
      </w:pPr>
      <w:r>
        <w:rPr>
          <w:rFonts w:ascii="Arial" w:hAnsi="Arial" w:cs="Arial"/>
          <w:b/>
          <w:sz w:val="24"/>
          <w:szCs w:val="24"/>
        </w:rPr>
        <w:t>4. Posebni kriteriji:</w:t>
      </w:r>
    </w:p>
    <w:p>
      <w:pPr>
        <w:spacing w:line="340" w:lineRule="exact"/>
        <w:jc w:val="both"/>
        <w:rPr>
          <w:rFonts w:ascii="Arial" w:hAnsi="Arial" w:cs="Arial"/>
          <w:sz w:val="24"/>
          <w:szCs w:val="24"/>
        </w:rPr>
      </w:pPr>
      <w:r>
        <w:rPr>
          <w:rFonts w:ascii="Arial" w:hAnsi="Arial" w:cs="Arial"/>
          <w:sz w:val="24"/>
          <w:szCs w:val="24"/>
        </w:rPr>
        <w:t xml:space="preserve">- Društva in organizacije so zavezana dati poročila o namenski porabi teh sredstev z dokazili do 28. februarja naslednjega leta. </w:t>
      </w:r>
    </w:p>
    <w:p>
      <w:pPr>
        <w:spacing w:line="340" w:lineRule="exact"/>
        <w:jc w:val="both"/>
        <w:rPr>
          <w:rFonts w:ascii="Arial" w:hAnsi="Arial" w:cs="Arial"/>
          <w:sz w:val="24"/>
          <w:szCs w:val="24"/>
        </w:rPr>
      </w:pPr>
      <w:r>
        <w:rPr>
          <w:rFonts w:ascii="Arial" w:hAnsi="Arial" w:cs="Arial"/>
          <w:sz w:val="24"/>
          <w:szCs w:val="24"/>
        </w:rPr>
        <w:t xml:space="preserve">-Programi društev in organizacij morajo imeti  vsaj 3 (treh) aktivne člane iz občine Vitanje.     </w:t>
      </w:r>
    </w:p>
    <w:p>
      <w:pPr>
        <w:spacing w:line="340" w:lineRule="exact"/>
        <w:jc w:val="both"/>
        <w:rPr>
          <w:rFonts w:ascii="Arial" w:hAnsi="Arial" w:cs="Arial"/>
          <w:sz w:val="24"/>
          <w:szCs w:val="24"/>
        </w:rPr>
      </w:pPr>
      <w:r>
        <w:rPr>
          <w:rFonts w:ascii="Arial" w:hAnsi="Arial" w:cs="Arial"/>
          <w:sz w:val="24"/>
          <w:szCs w:val="24"/>
        </w:rPr>
        <w:t>-Vrednotijo se javni programi oziroma prireditve, ki so v interesu Občine Vitanje (ne točkujejo se občni zbori društev, praznovanje zasebnih zabav in prireditev, javni shodi, politični shodi,..).</w:t>
      </w:r>
    </w:p>
    <w:p>
      <w:pPr>
        <w:spacing w:line="340" w:lineRule="exact"/>
        <w:jc w:val="both"/>
        <w:rPr>
          <w:rFonts w:ascii="Arial" w:hAnsi="Arial" w:cs="Arial"/>
          <w:b/>
          <w:sz w:val="24"/>
          <w:szCs w:val="24"/>
        </w:rPr>
      </w:pPr>
      <w:r>
        <w:rPr>
          <w:rFonts w:ascii="Arial" w:hAnsi="Arial" w:cs="Arial"/>
          <w:b/>
          <w:sz w:val="24"/>
          <w:szCs w:val="24"/>
        </w:rPr>
        <w:t>V kolikor izvajalci ne izpolnjuje pogojev pod točko 3. in tč.4 se vloga lahko zavrne.</w:t>
      </w:r>
    </w:p>
    <w:p>
      <w:pPr>
        <w:spacing w:line="340" w:lineRule="exact"/>
        <w:jc w:val="both"/>
        <w:rPr>
          <w:rFonts w:ascii="Arial" w:hAnsi="Arial" w:cs="Arial"/>
          <w:sz w:val="24"/>
          <w:szCs w:val="24"/>
          <w:u w:val="single"/>
        </w:rPr>
      </w:pPr>
    </w:p>
    <w:p>
      <w:pPr>
        <w:spacing w:line="340" w:lineRule="exact"/>
        <w:jc w:val="both"/>
        <w:rPr>
          <w:rFonts w:ascii="Arial" w:hAnsi="Arial" w:cs="Arial"/>
          <w:b/>
          <w:sz w:val="24"/>
          <w:szCs w:val="24"/>
        </w:rPr>
      </w:pPr>
      <w:r>
        <w:rPr>
          <w:rFonts w:ascii="Arial" w:hAnsi="Arial" w:cs="Arial"/>
          <w:b/>
          <w:sz w:val="24"/>
          <w:szCs w:val="24"/>
        </w:rPr>
        <w:t>5. Višina razpoložljivih sredstev:</w:t>
      </w:r>
    </w:p>
    <w:p>
      <w:pPr>
        <w:spacing w:line="340" w:lineRule="exact"/>
        <w:jc w:val="both"/>
        <w:rPr>
          <w:rFonts w:ascii="Arial" w:hAnsi="Arial" w:cs="Arial"/>
          <w:b/>
          <w:sz w:val="24"/>
          <w:szCs w:val="24"/>
        </w:rPr>
      </w:pPr>
      <w:r>
        <w:rPr>
          <w:rFonts w:ascii="Arial" w:hAnsi="Arial" w:cs="Arial"/>
          <w:sz w:val="24"/>
          <w:szCs w:val="24"/>
        </w:rPr>
        <w:t xml:space="preserve">- za programe ostalih društev in organizacij s sedežem v občini Vitanje: </w:t>
      </w:r>
      <w:r>
        <w:rPr>
          <w:rFonts w:ascii="Arial" w:hAnsi="Arial" w:cs="Arial"/>
          <w:b/>
          <w:sz w:val="24"/>
          <w:szCs w:val="24"/>
        </w:rPr>
        <w:t>5.865 €</w:t>
      </w:r>
    </w:p>
    <w:p>
      <w:pPr>
        <w:spacing w:line="340" w:lineRule="exact"/>
        <w:jc w:val="both"/>
        <w:rPr>
          <w:rFonts w:ascii="Arial" w:hAnsi="Arial" w:cs="Arial"/>
          <w:b/>
          <w:sz w:val="24"/>
          <w:szCs w:val="24"/>
        </w:rPr>
      </w:pPr>
      <w:r>
        <w:rPr>
          <w:rFonts w:ascii="Arial" w:hAnsi="Arial" w:cs="Arial"/>
          <w:sz w:val="24"/>
          <w:szCs w:val="24"/>
        </w:rPr>
        <w:t xml:space="preserve">- za programe ostalih društev in organizacij, ki izvajajo programe tudi za občane občine Vitanje in imajo sedež izven občinskih meja: </w:t>
      </w:r>
      <w:r>
        <w:rPr>
          <w:rFonts w:ascii="Arial" w:hAnsi="Arial" w:cs="Arial"/>
          <w:b/>
          <w:sz w:val="24"/>
          <w:szCs w:val="24"/>
        </w:rPr>
        <w:t>1.000 €.</w:t>
      </w:r>
    </w:p>
    <w:p>
      <w:pPr>
        <w:spacing w:line="340" w:lineRule="exact"/>
        <w:jc w:val="both"/>
        <w:rPr>
          <w:rFonts w:ascii="Arial" w:hAnsi="Arial" w:cs="Arial"/>
          <w:sz w:val="24"/>
          <w:szCs w:val="24"/>
        </w:rPr>
      </w:pPr>
    </w:p>
    <w:p>
      <w:pPr>
        <w:spacing w:line="340" w:lineRule="exact"/>
        <w:jc w:val="both"/>
        <w:rPr>
          <w:rFonts w:ascii="Arial" w:hAnsi="Arial" w:cs="Arial"/>
          <w:b/>
          <w:sz w:val="24"/>
          <w:szCs w:val="24"/>
        </w:rPr>
      </w:pPr>
      <w:r>
        <w:rPr>
          <w:rFonts w:ascii="Arial" w:hAnsi="Arial" w:cs="Arial"/>
          <w:b/>
          <w:sz w:val="24"/>
          <w:szCs w:val="24"/>
        </w:rPr>
        <w:t>6. Določila, nadzor in sankcije:</w:t>
      </w:r>
    </w:p>
    <w:p>
      <w:pPr>
        <w:spacing w:line="340" w:lineRule="exact"/>
        <w:jc w:val="both"/>
        <w:rPr>
          <w:rFonts w:ascii="Arial" w:hAnsi="Arial" w:cs="Arial"/>
          <w:sz w:val="24"/>
          <w:szCs w:val="24"/>
        </w:rPr>
      </w:pPr>
      <w:r>
        <w:rPr>
          <w:rFonts w:ascii="Arial" w:hAnsi="Arial" w:cs="Arial"/>
          <w:sz w:val="24"/>
          <w:szCs w:val="24"/>
        </w:rPr>
        <w:t xml:space="preserve">Programi se sofinancirajo v skladu s pogoji in merili Pravilnika o sofinanciranju  programov ostalih društev in organizacij v občini Vitanje (Ur. l. RS, št. 38/05 in 16/08), s postavko proračuna Občine </w:t>
      </w:r>
      <w:r>
        <w:rPr>
          <w:rFonts w:ascii="Arial" w:hAnsi="Arial" w:cs="Arial"/>
          <w:sz w:val="24"/>
          <w:szCs w:val="24"/>
        </w:rPr>
        <w:lastRenderedPageBreak/>
        <w:t>Vitanje 2025 in pravili javnih financ, letnim programom Občine Vitanje za kulturo in družbene dejavnosti 2025 in posebnimi kriteriji razpisa.</w:t>
      </w:r>
    </w:p>
    <w:p>
      <w:pPr>
        <w:spacing w:line="340" w:lineRule="exact"/>
        <w:jc w:val="both"/>
        <w:rPr>
          <w:rFonts w:ascii="Arial" w:hAnsi="Arial" w:cs="Arial"/>
          <w:sz w:val="24"/>
          <w:szCs w:val="24"/>
        </w:rPr>
      </w:pPr>
      <w:r>
        <w:rPr>
          <w:rFonts w:ascii="Arial" w:hAnsi="Arial" w:cs="Arial"/>
          <w:sz w:val="24"/>
          <w:szCs w:val="24"/>
        </w:rPr>
        <w:t xml:space="preserve">Nastopi se točkujejo s pogoji in merili pravilnika skladno z interesom občine. </w:t>
      </w:r>
    </w:p>
    <w:p>
      <w:pPr>
        <w:spacing w:line="340" w:lineRule="exact"/>
        <w:jc w:val="both"/>
        <w:rPr>
          <w:rFonts w:ascii="Arial" w:hAnsi="Arial" w:cs="Arial"/>
          <w:sz w:val="24"/>
          <w:szCs w:val="24"/>
        </w:rPr>
      </w:pPr>
      <w:r>
        <w:rPr>
          <w:rFonts w:ascii="Arial" w:hAnsi="Arial" w:cs="Arial"/>
          <w:sz w:val="24"/>
          <w:szCs w:val="24"/>
        </w:rPr>
        <w:t>Sofinancira se ne:</w:t>
      </w:r>
    </w:p>
    <w:p>
      <w:pPr>
        <w:spacing w:line="340" w:lineRule="exact"/>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prijavljeni program za katerega so pridobljena sredstva na drugih razpisih občine, </w:t>
      </w:r>
    </w:p>
    <w:p>
      <w:pPr>
        <w:spacing w:line="340" w:lineRule="exact"/>
        <w:jc w:val="both"/>
        <w:rPr>
          <w:rFonts w:ascii="Arial" w:hAnsi="Arial" w:cs="Arial"/>
          <w:sz w:val="24"/>
          <w:szCs w:val="24"/>
        </w:rPr>
      </w:pPr>
      <w:r>
        <w:rPr>
          <w:rFonts w:ascii="Arial" w:hAnsi="Arial" w:cs="Arial"/>
          <w:sz w:val="24"/>
          <w:szCs w:val="24"/>
        </w:rPr>
        <w:t>–</w:t>
      </w:r>
      <w:r>
        <w:rPr>
          <w:rFonts w:ascii="Arial" w:hAnsi="Arial" w:cs="Arial"/>
          <w:sz w:val="24"/>
          <w:szCs w:val="24"/>
        </w:rPr>
        <w:tab/>
        <w:t>dejavnost društva oz. združenja, ki je pridobitnega značaja.</w:t>
      </w:r>
    </w:p>
    <w:p>
      <w:pPr>
        <w:spacing w:line="340" w:lineRule="exact"/>
        <w:jc w:val="both"/>
        <w:rPr>
          <w:rFonts w:ascii="Arial" w:hAnsi="Arial" w:cs="Arial"/>
          <w:sz w:val="24"/>
          <w:szCs w:val="24"/>
        </w:rPr>
      </w:pPr>
    </w:p>
    <w:p>
      <w:pPr>
        <w:spacing w:line="340" w:lineRule="exact"/>
        <w:jc w:val="both"/>
        <w:rPr>
          <w:rFonts w:ascii="Arial" w:hAnsi="Arial" w:cs="Arial"/>
          <w:sz w:val="24"/>
          <w:szCs w:val="24"/>
        </w:rPr>
      </w:pPr>
      <w:r>
        <w:rPr>
          <w:rFonts w:ascii="Arial" w:hAnsi="Arial" w:cs="Arial"/>
          <w:sz w:val="24"/>
          <w:szCs w:val="24"/>
        </w:rPr>
        <w:t xml:space="preserve">Društva in organizacije, ki prejmejo sredstva sofinanciranja svojih programov iz občinskega proračuna Občine Vitanje, morajo sredstva porabiti do konca tekočega leta. </w:t>
      </w:r>
    </w:p>
    <w:p>
      <w:pPr>
        <w:spacing w:line="340" w:lineRule="exact"/>
        <w:jc w:val="both"/>
        <w:rPr>
          <w:rFonts w:ascii="Arial" w:hAnsi="Arial" w:cs="Arial"/>
          <w:sz w:val="24"/>
          <w:szCs w:val="24"/>
        </w:rPr>
      </w:pPr>
      <w:r>
        <w:rPr>
          <w:rFonts w:ascii="Arial" w:hAnsi="Arial" w:cs="Arial"/>
          <w:sz w:val="24"/>
          <w:szCs w:val="24"/>
        </w:rPr>
        <w:t>Društva in organizacije, ki niso oddala nazorna poročila o porabi prejetih sredstev iz občinskega proračuna za preteklo leto, niso upravičena do razpisanih sredstev v letu 2025.</w:t>
      </w:r>
    </w:p>
    <w:p>
      <w:pPr>
        <w:spacing w:line="340" w:lineRule="exact"/>
        <w:jc w:val="both"/>
        <w:rPr>
          <w:rFonts w:ascii="Arial" w:hAnsi="Arial" w:cs="Arial"/>
          <w:sz w:val="24"/>
          <w:szCs w:val="24"/>
        </w:rPr>
      </w:pPr>
      <w:r>
        <w:rPr>
          <w:rFonts w:ascii="Arial" w:hAnsi="Arial" w:cs="Arial"/>
          <w:sz w:val="24"/>
          <w:szCs w:val="24"/>
        </w:rPr>
        <w:t>Sredstva se porabijo za programe, prireditve, ki so skladne z letnim programom občine v letu 2025.</w:t>
      </w:r>
    </w:p>
    <w:p>
      <w:pPr>
        <w:spacing w:line="340" w:lineRule="exact"/>
        <w:jc w:val="both"/>
        <w:rPr>
          <w:rFonts w:ascii="Arial" w:hAnsi="Arial" w:cs="Arial"/>
          <w:sz w:val="24"/>
          <w:szCs w:val="24"/>
        </w:rPr>
      </w:pPr>
      <w:r>
        <w:rPr>
          <w:rFonts w:ascii="Arial" w:hAnsi="Arial" w:cs="Arial"/>
          <w:sz w:val="24"/>
          <w:szCs w:val="24"/>
        </w:rPr>
        <w:t xml:space="preserve">Namensko porabo proračunskih sredstev, pridobljenih po pravilniku oz. javnemu razpisu in pogodbi, spremljata in preverjata občinska strokovna služba, komisija oz. nadzorni odbor. V primeru ugotovitve nenamenske porabe proračunskih sredstev, občina lahko zahteva vrnitev dodeljenih sredstev oz. se stranki dogovorita o vračilu sredstev. </w:t>
      </w:r>
    </w:p>
    <w:p>
      <w:pPr>
        <w:spacing w:line="340" w:lineRule="exact"/>
        <w:jc w:val="both"/>
        <w:rPr>
          <w:rFonts w:ascii="Arial" w:hAnsi="Arial" w:cs="Arial"/>
          <w:sz w:val="24"/>
          <w:szCs w:val="24"/>
        </w:rPr>
      </w:pPr>
      <w:r>
        <w:rPr>
          <w:rFonts w:ascii="Arial" w:hAnsi="Arial" w:cs="Arial"/>
          <w:sz w:val="24"/>
          <w:szCs w:val="24"/>
        </w:rPr>
        <w:t>V primeru, da se ugotovi, da izvajalec krši pravila razpisa oz. pravilnika, da projekt ni v skladu z javnim interesom občine, da je za  namen pridobitve sredstev navajal neresnične podatke, da je za iste upravičene stroške in za isti namen že pridobil finančna sredstva iz kateregakoli drugega vira, se mu vloga lahko zavrne oz. izvajalec vrne proračunska sredstva.</w:t>
      </w:r>
    </w:p>
    <w:p>
      <w:pPr>
        <w:spacing w:line="340" w:lineRule="exact"/>
        <w:jc w:val="both"/>
        <w:rPr>
          <w:rFonts w:ascii="Arial" w:hAnsi="Arial" w:cs="Arial"/>
          <w:sz w:val="24"/>
          <w:szCs w:val="24"/>
        </w:rPr>
      </w:pPr>
      <w:r>
        <w:rPr>
          <w:rFonts w:ascii="Arial" w:hAnsi="Arial" w:cs="Arial"/>
          <w:sz w:val="24"/>
          <w:szCs w:val="24"/>
        </w:rPr>
        <w:t>Občina Vitanje lahko v skladu z izpolnjevanjem pogojev razpisa preveri podatke članstva prijavljenega društva in s podatki ravna kot veljajo določila o varovanju osebnih podatkov.</w:t>
      </w:r>
    </w:p>
    <w:p>
      <w:pPr>
        <w:spacing w:line="340" w:lineRule="exact"/>
        <w:jc w:val="both"/>
        <w:rPr>
          <w:rFonts w:ascii="Arial" w:hAnsi="Arial" w:cs="Arial"/>
          <w:sz w:val="24"/>
          <w:szCs w:val="24"/>
        </w:rPr>
      </w:pPr>
      <w:r>
        <w:rPr>
          <w:rFonts w:ascii="Arial" w:hAnsi="Arial" w:cs="Arial"/>
          <w:sz w:val="24"/>
          <w:szCs w:val="24"/>
        </w:rPr>
        <w:t>V primeru, da izvajalec programa zaradi prenehanja delovanja, zmanjšanega obsega dela ali podobno ne porabi vseh odobrenih sredstev oz. ob ugotovitvi kršitev in nepravilnosti, lahko župan s sklepom prerazporedi ta sredstva drugim izvajalcem.</w:t>
      </w:r>
    </w:p>
    <w:p>
      <w:pPr>
        <w:spacing w:line="340" w:lineRule="exact"/>
        <w:jc w:val="both"/>
        <w:rPr>
          <w:rFonts w:ascii="Arial" w:hAnsi="Arial" w:cs="Arial"/>
          <w:sz w:val="24"/>
          <w:szCs w:val="24"/>
        </w:rPr>
      </w:pPr>
    </w:p>
    <w:p>
      <w:pPr>
        <w:spacing w:line="340" w:lineRule="exact"/>
        <w:jc w:val="both"/>
        <w:rPr>
          <w:rFonts w:ascii="Arial" w:hAnsi="Arial" w:cs="Arial"/>
          <w:b/>
          <w:sz w:val="24"/>
          <w:szCs w:val="24"/>
        </w:rPr>
      </w:pPr>
      <w:r>
        <w:rPr>
          <w:rFonts w:ascii="Arial" w:hAnsi="Arial" w:cs="Arial"/>
          <w:b/>
          <w:sz w:val="24"/>
          <w:szCs w:val="24"/>
        </w:rPr>
        <w:t xml:space="preserve">6. Način prijave in rok za prijavo: </w:t>
      </w:r>
    </w:p>
    <w:p>
      <w:pPr>
        <w:spacing w:line="340" w:lineRule="exact"/>
        <w:jc w:val="both"/>
        <w:rPr>
          <w:rFonts w:ascii="Arial" w:hAnsi="Arial" w:cs="Arial"/>
          <w:b/>
          <w:sz w:val="24"/>
          <w:szCs w:val="24"/>
        </w:rPr>
      </w:pPr>
      <w:r>
        <w:rPr>
          <w:rFonts w:ascii="Arial" w:hAnsi="Arial" w:cs="Arial"/>
          <w:sz w:val="24"/>
          <w:szCs w:val="24"/>
        </w:rPr>
        <w:t xml:space="preserve">Prijavo naj ponudniki oddajo na razpisnih obrazcih, ki jih pridobijo na spletni strani </w:t>
      </w:r>
      <w:hyperlink r:id="rId8" w:history="1">
        <w:r>
          <w:rPr>
            <w:rStyle w:val="Hiperpovezava"/>
            <w:rFonts w:ascii="Arial" w:hAnsi="Arial" w:cs="Arial"/>
            <w:color w:val="auto"/>
            <w:sz w:val="24"/>
            <w:szCs w:val="24"/>
          </w:rPr>
          <w:t>www.vitanje.si</w:t>
        </w:r>
      </w:hyperlink>
      <w:r>
        <w:rPr>
          <w:rFonts w:ascii="Arial" w:hAnsi="Arial" w:cs="Arial"/>
          <w:sz w:val="24"/>
          <w:szCs w:val="24"/>
        </w:rPr>
        <w:t xml:space="preserve"> v rubriki RAZPISI. Vse dodatne informacije in pojasnila lahko dobijo na občini Vitanje, po telefonu (03) 757 43 57 pri Ivici Žerdoner, </w:t>
      </w:r>
      <w:hyperlink r:id="rId9" w:history="1">
        <w:r>
          <w:rPr>
            <w:rStyle w:val="Hiperpovezava"/>
            <w:rFonts w:ascii="Arial" w:hAnsi="Arial" w:cs="Arial"/>
            <w:sz w:val="24"/>
            <w:szCs w:val="24"/>
          </w:rPr>
          <w:t>ivica.zerdoner@vitanje.si</w:t>
        </w:r>
      </w:hyperlink>
      <w:r>
        <w:rPr>
          <w:rFonts w:ascii="Arial" w:hAnsi="Arial" w:cs="Arial"/>
          <w:sz w:val="24"/>
          <w:szCs w:val="24"/>
        </w:rPr>
        <w:t xml:space="preserve">, info@vitanje.si. </w:t>
      </w:r>
    </w:p>
    <w:p>
      <w:pPr>
        <w:spacing w:line="340" w:lineRule="exact"/>
        <w:jc w:val="both"/>
        <w:rPr>
          <w:rFonts w:ascii="Arial" w:hAnsi="Arial" w:cs="Arial"/>
          <w:sz w:val="24"/>
          <w:szCs w:val="24"/>
        </w:rPr>
      </w:pPr>
      <w:r>
        <w:rPr>
          <w:rFonts w:ascii="Arial" w:hAnsi="Arial" w:cs="Arial"/>
          <w:sz w:val="24"/>
          <w:szCs w:val="24"/>
        </w:rPr>
        <w:t xml:space="preserve">Ponudbe naj ponudniki oddajo na naslov: Občina Vitanje, Grajski trg 1, 3205 Vitanje. Na ovojnici naj bo vidno </w:t>
      </w:r>
      <w:r>
        <w:rPr>
          <w:rFonts w:ascii="Arial" w:hAnsi="Arial" w:cs="Arial"/>
          <w:b/>
          <w:sz w:val="24"/>
          <w:szCs w:val="24"/>
        </w:rPr>
        <w:t>napisan vlagatelj in oznaka: »NE ODPIRAJ – RAZPIS OSTALI 2025«</w:t>
      </w:r>
      <w:r>
        <w:rPr>
          <w:rFonts w:ascii="Arial" w:hAnsi="Arial" w:cs="Arial"/>
          <w:sz w:val="24"/>
          <w:szCs w:val="24"/>
        </w:rPr>
        <w:t>. Upoštevane bodo le popolne ponudbe na originalnih obrazcih, ki bodo prispele na sedež občine v tajništvo najkasneje do ponedeljka</w:t>
      </w:r>
      <w:r>
        <w:rPr>
          <w:rFonts w:ascii="Arial" w:hAnsi="Arial" w:cs="Arial"/>
          <w:b/>
          <w:sz w:val="24"/>
          <w:szCs w:val="24"/>
        </w:rPr>
        <w:t xml:space="preserve">, 12. maja 2025, do 13.00 ure. </w:t>
      </w:r>
    </w:p>
    <w:p>
      <w:pPr>
        <w:spacing w:line="340" w:lineRule="exact"/>
        <w:jc w:val="both"/>
        <w:rPr>
          <w:rFonts w:ascii="Arial" w:hAnsi="Arial" w:cs="Arial"/>
          <w:sz w:val="24"/>
          <w:szCs w:val="24"/>
        </w:rPr>
      </w:pPr>
      <w:r>
        <w:rPr>
          <w:rFonts w:ascii="Arial" w:hAnsi="Arial" w:cs="Arial"/>
          <w:sz w:val="24"/>
          <w:szCs w:val="24"/>
        </w:rPr>
        <w:t>Nepravočasne prijave se ne bodo obravnavale in bodo s sklepom zavržene. Predlagatelji bodo o izboru in višini sredstev obveščeni najkasneje 14 dni po ovrednotenju programov. Z izbranimi izvajalci bodo sklenjene pogodbe o sofinanciranju programov.</w:t>
      </w:r>
    </w:p>
    <w:p>
      <w:pPr>
        <w:spacing w:line="340" w:lineRule="exact"/>
        <w:jc w:val="both"/>
        <w:rPr>
          <w:rFonts w:ascii="Arial" w:hAnsi="Arial" w:cs="Arial"/>
          <w:b/>
          <w:sz w:val="24"/>
          <w:szCs w:val="24"/>
        </w:rPr>
      </w:pPr>
      <w:r>
        <w:rPr>
          <w:rFonts w:ascii="Arial" w:hAnsi="Arial" w:cs="Arial"/>
          <w:b/>
          <w:sz w:val="24"/>
          <w:szCs w:val="24"/>
        </w:rPr>
        <w:t>Datum: 17. 4. 2025                                                                          Župan Občine Vitanje</w:t>
      </w:r>
    </w:p>
    <w:p>
      <w:pPr>
        <w:spacing w:line="340" w:lineRule="exact"/>
        <w:jc w:val="both"/>
        <w:rPr>
          <w:rFonts w:ascii="Arial" w:hAnsi="Arial" w:cs="Arial"/>
          <w:b/>
          <w:sz w:val="24"/>
          <w:szCs w:val="24"/>
        </w:rPr>
      </w:pPr>
      <w:r>
        <w:rPr>
          <w:rFonts w:ascii="Arial" w:hAnsi="Arial" w:cs="Arial"/>
          <w:b/>
          <w:sz w:val="24"/>
          <w:szCs w:val="24"/>
        </w:rPr>
        <w:t xml:space="preserve">Št.: 410-0010/2025-002     </w:t>
      </w:r>
      <w:bookmarkStart w:id="0" w:name="_GoBack"/>
      <w:bookmarkEnd w:id="0"/>
      <w:r>
        <w:rPr>
          <w:rFonts w:ascii="Arial" w:hAnsi="Arial" w:cs="Arial"/>
          <w:b/>
          <w:sz w:val="24"/>
          <w:szCs w:val="24"/>
        </w:rPr>
        <w:t xml:space="preserve">                                                             Andraž Pogorevc, mag.  </w:t>
      </w:r>
    </w:p>
    <w:sectPr>
      <w:pgSz w:w="11906" w:h="16838"/>
      <w:pgMar w:top="850" w:right="850" w:bottom="850" w:left="850"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50DC"/>
    <w:multiLevelType w:val="hybridMultilevel"/>
    <w:tmpl w:val="EE3650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8A96419"/>
    <w:multiLevelType w:val="hybridMultilevel"/>
    <w:tmpl w:val="728E1336"/>
    <w:lvl w:ilvl="0" w:tplc="2904FC8E">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14C048D2"/>
    <w:multiLevelType w:val="hybridMultilevel"/>
    <w:tmpl w:val="25220D1A"/>
    <w:lvl w:ilvl="0" w:tplc="99BE7AB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2331429E"/>
    <w:multiLevelType w:val="hybridMultilevel"/>
    <w:tmpl w:val="C9485CA6"/>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2EDE4353"/>
    <w:multiLevelType w:val="hybridMultilevel"/>
    <w:tmpl w:val="5BE8604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AAA4109"/>
    <w:multiLevelType w:val="hybridMultilevel"/>
    <w:tmpl w:val="68948856"/>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FB12C2D"/>
    <w:multiLevelType w:val="hybridMultilevel"/>
    <w:tmpl w:val="8D5EC700"/>
    <w:lvl w:ilvl="0" w:tplc="2904FC8E">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97F5BBB"/>
    <w:multiLevelType w:val="hybridMultilevel"/>
    <w:tmpl w:val="3664EFD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4EF01A82"/>
    <w:multiLevelType w:val="hybridMultilevel"/>
    <w:tmpl w:val="3E687120"/>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9B36909"/>
    <w:multiLevelType w:val="hybridMultilevel"/>
    <w:tmpl w:val="131464BA"/>
    <w:lvl w:ilvl="0" w:tplc="041CFE14">
      <w:start w:val="2"/>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5C417DDD"/>
    <w:multiLevelType w:val="hybridMultilevel"/>
    <w:tmpl w:val="B0F2C45C"/>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67092151"/>
    <w:multiLevelType w:val="hybridMultilevel"/>
    <w:tmpl w:val="4F78489A"/>
    <w:lvl w:ilvl="0" w:tplc="E5F6D502">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75E5141F"/>
    <w:multiLevelType w:val="hybridMultilevel"/>
    <w:tmpl w:val="22D0D2A6"/>
    <w:lvl w:ilvl="0" w:tplc="CDF48E02">
      <w:start w:val="1"/>
      <w:numFmt w:val="upperRoman"/>
      <w:lvlText w:val="%1."/>
      <w:lvlJc w:val="left"/>
      <w:pPr>
        <w:tabs>
          <w:tab w:val="num" w:pos="720"/>
        </w:tabs>
        <w:ind w:left="720" w:hanging="360"/>
      </w:pPr>
      <w:rPr>
        <w:rFonts w:ascii="Times New Roman" w:eastAsia="Times New Roman" w:hAnsi="Times New Roman" w:cs="Times New Roman"/>
      </w:rPr>
    </w:lvl>
    <w:lvl w:ilvl="1" w:tplc="03E4A50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9"/>
  </w:num>
  <w:num w:numId="4">
    <w:abstractNumId w:val="5"/>
  </w:num>
  <w:num w:numId="5">
    <w:abstractNumId w:val="10"/>
  </w:num>
  <w:num w:numId="6">
    <w:abstractNumId w:val="8"/>
  </w:num>
  <w:num w:numId="7">
    <w:abstractNumId w:val="4"/>
  </w:num>
  <w:num w:numId="8">
    <w:abstractNumId w:val="0"/>
  </w:num>
  <w:num w:numId="9">
    <w:abstractNumId w:val="7"/>
  </w:num>
  <w:num w:numId="10">
    <w:abstractNumId w:val="1"/>
  </w:num>
  <w:num w:numId="11">
    <w:abstractNumId w:val="6"/>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C9D521-0B22-4CCA-A338-BBBD6CD84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qFormat/>
    <w:pPr>
      <w:keepNext/>
      <w:jc w:val="center"/>
      <w:outlineLvl w:val="0"/>
    </w:pPr>
    <w:rPr>
      <w:b/>
      <w:sz w:val="24"/>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053981">
      <w:bodyDiv w:val="1"/>
      <w:marLeft w:val="0"/>
      <w:marRight w:val="0"/>
      <w:marTop w:val="0"/>
      <w:marBottom w:val="0"/>
      <w:divBdr>
        <w:top w:val="none" w:sz="0" w:space="0" w:color="auto"/>
        <w:left w:val="none" w:sz="0" w:space="0" w:color="auto"/>
        <w:bottom w:val="none" w:sz="0" w:space="0" w:color="auto"/>
        <w:right w:val="none" w:sz="0" w:space="0" w:color="auto"/>
      </w:divBdr>
    </w:div>
    <w:div w:id="1246762226">
      <w:bodyDiv w:val="1"/>
      <w:marLeft w:val="0"/>
      <w:marRight w:val="0"/>
      <w:marTop w:val="0"/>
      <w:marBottom w:val="0"/>
      <w:divBdr>
        <w:top w:val="none" w:sz="0" w:space="0" w:color="auto"/>
        <w:left w:val="none" w:sz="0" w:space="0" w:color="auto"/>
        <w:bottom w:val="none" w:sz="0" w:space="0" w:color="auto"/>
        <w:right w:val="none" w:sz="0" w:space="0" w:color="auto"/>
      </w:divBdr>
    </w:div>
    <w:div w:id="1658683005">
      <w:bodyDiv w:val="1"/>
      <w:marLeft w:val="0"/>
      <w:marRight w:val="0"/>
      <w:marTop w:val="0"/>
      <w:marBottom w:val="0"/>
      <w:divBdr>
        <w:top w:val="none" w:sz="0" w:space="0" w:color="auto"/>
        <w:left w:val="none" w:sz="0" w:space="0" w:color="auto"/>
        <w:bottom w:val="none" w:sz="0" w:space="0" w:color="auto"/>
        <w:right w:val="none" w:sz="0" w:space="0" w:color="auto"/>
      </w:divBdr>
    </w:div>
    <w:div w:id="178573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tanje.si"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ivica.zerdoner@vitan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6447ec0bc085afdddaa35a8f4c862aa3">
  <xsd:schema xmlns:xsd="http://www.w3.org/2001/XMLSchema" xmlns:xs="http://www.w3.org/2001/XMLSchema" xmlns:p="http://schemas.microsoft.com/office/2006/metadata/properties" xmlns:ns3="26b73612-1c69-4ac2-a2b8-0d44efe707ff" targetNamespace="http://schemas.microsoft.com/office/2006/metadata/properties" ma:root="true" ma:fieldsID="62ca12f2e72dc2e6c2440b8e469de63f"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B7D3E-5D72-48EF-AD87-FFCC317DD2E1}">
  <ds:schemaRefs>
    <ds:schemaRef ds:uri="http://schemas.microsoft.com/office/2006/documentManagement/types"/>
    <ds:schemaRef ds:uri="http://purl.org/dc/elements/1.1/"/>
    <ds:schemaRef ds:uri="http://purl.org/dc/terms/"/>
    <ds:schemaRef ds:uri="http://schemas.microsoft.com/office/2006/metadata/properties"/>
    <ds:schemaRef ds:uri="http://purl.org/dc/dcmitype/"/>
    <ds:schemaRef ds:uri="http://www.w3.org/XML/1998/namespace"/>
    <ds:schemaRef ds:uri="http://schemas.openxmlformats.org/package/2006/metadata/core-properties"/>
    <ds:schemaRef ds:uri="http://schemas.microsoft.com/office/infopath/2007/PartnerControls"/>
    <ds:schemaRef ds:uri="26b73612-1c69-4ac2-a2b8-0d44efe707ff"/>
  </ds:schemaRefs>
</ds:datastoreItem>
</file>

<file path=customXml/itemProps2.xml><?xml version="1.0" encoding="utf-8"?>
<ds:datastoreItem xmlns:ds="http://schemas.openxmlformats.org/officeDocument/2006/customXml" ds:itemID="{6B34D162-3E9F-4A8E-824A-CD60B137E52F}">
  <ds:schemaRefs>
    <ds:schemaRef ds:uri="http://schemas.microsoft.com/sharepoint/v3/contenttype/forms"/>
  </ds:schemaRefs>
</ds:datastoreItem>
</file>

<file path=customXml/itemProps3.xml><?xml version="1.0" encoding="utf-8"?>
<ds:datastoreItem xmlns:ds="http://schemas.openxmlformats.org/officeDocument/2006/customXml" ds:itemID="{2B91D7B2-2D26-462D-8C5E-08C6BFB24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815</Words>
  <Characters>5029</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Na podlagi 5</vt:lpstr>
    </vt:vector>
  </TitlesOfParts>
  <Company>OBČINA VITANJE</Company>
  <LinksUpToDate>false</LinksUpToDate>
  <CharactersWithSpaces>5833</CharactersWithSpaces>
  <SharedDoc>false</SharedDoc>
  <HLinks>
    <vt:vector size="6" baseType="variant">
      <vt:variant>
        <vt:i4>8257653</vt:i4>
      </vt:variant>
      <vt:variant>
        <vt:i4>0</vt:i4>
      </vt:variant>
      <vt:variant>
        <vt:i4>0</vt:i4>
      </vt:variant>
      <vt:variant>
        <vt:i4>5</vt:i4>
      </vt:variant>
      <vt:variant>
        <vt:lpwstr>http://www.vitanje.si/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5</dc:title>
  <dc:subject/>
  <dc:creator>ROMANA HOLOBAR</dc:creator>
  <cp:keywords/>
  <dc:description/>
  <cp:lastModifiedBy>Ivica Žerdoner</cp:lastModifiedBy>
  <cp:revision>7</cp:revision>
  <cp:lastPrinted>2018-03-12T10:34:00Z</cp:lastPrinted>
  <dcterms:created xsi:type="dcterms:W3CDTF">2025-03-07T09:49:00Z</dcterms:created>
  <dcterms:modified xsi:type="dcterms:W3CDTF">2025-04-16T13:56:00Z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