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bookmarkStart w:id="0" w:name="_MON_1137229007"/>
      <w:bookmarkEnd w:id="0"/>
      <w: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55.55pt" o:ole="" fillcolor="window">
            <v:imagedata r:id="rId10" o:title=""/>
          </v:shape>
          <o:OLEObject Type="Embed" ProgID="Word.Picture.8" ShapeID="_x0000_i1025" DrawAspect="Content" ObjectID="_1789386708" r:id="rId11"/>
        </w:object>
      </w:r>
    </w:p>
    <w:p>
      <w:pPr>
        <w:pStyle w:val="Naslov2"/>
        <w:rPr>
          <w:i/>
        </w:rPr>
      </w:pPr>
      <w:r>
        <w:rPr>
          <w:i/>
        </w:rPr>
        <w:t>_______________________________OBČINA VITANJE___________________________</w:t>
      </w:r>
    </w:p>
    <w:p>
      <w:pPr>
        <w:spacing w:line="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Grajski trg 1; 3205 Vitanje. Tel. (03) 757-43-50, fax. (03) 757-43-51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e-mail: </w:t>
      </w:r>
      <w:hyperlink r:id="rId12" w:history="1">
        <w:r>
          <w:rPr>
            <w:rStyle w:val="Hiperpovezava"/>
            <w:rFonts w:ascii="Times New Roman" w:hAnsi="Times New Roman"/>
            <w:b/>
          </w:rPr>
          <w:t>info@vitanje.si</w:t>
        </w:r>
      </w:hyperlink>
      <w:r>
        <w:rPr>
          <w:rFonts w:ascii="Times New Roman" w:hAnsi="Times New Roman"/>
          <w:b/>
        </w:rPr>
        <w:t xml:space="preserve">, </w:t>
      </w:r>
      <w:hyperlink r:id="rId13" w:history="1">
        <w:r>
          <w:rPr>
            <w:rStyle w:val="Hiperpovezava"/>
            <w:rFonts w:ascii="Times New Roman" w:hAnsi="Times New Roman"/>
            <w:b/>
          </w:rPr>
          <w:t>www.vitanje.si</w:t>
        </w:r>
      </w:hyperlink>
      <w:r>
        <w:rPr>
          <w:rFonts w:ascii="Times New Roman" w:hAnsi="Times New Roman"/>
          <w:b/>
        </w:rPr>
        <w:t xml:space="preserve"> </w:t>
      </w:r>
    </w:p>
    <w:p>
      <w:pPr>
        <w:rPr>
          <w:b/>
        </w:rPr>
      </w:pPr>
      <w:r>
        <w:rPr>
          <w:b/>
        </w:rPr>
        <w:t xml:space="preserve"> </w:t>
      </w:r>
    </w:p>
    <w:p>
      <w:pPr>
        <w:pStyle w:val="Naslov1"/>
        <w:jc w:val="left"/>
        <w:rPr>
          <w:b w:val="0"/>
        </w:rPr>
      </w:pPr>
      <w:r>
        <w:rPr>
          <w:b w:val="0"/>
        </w:rPr>
        <w:t xml:space="preserve">Številka: 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 19. 9. 2024</w:t>
      </w:r>
    </w:p>
    <w:p>
      <w:pPr>
        <w:pStyle w:val="Naslov1"/>
      </w:pPr>
    </w:p>
    <w:p>
      <w:pPr>
        <w:pStyle w:val="Naslov1"/>
      </w:pPr>
      <w:r>
        <w:t>ZAPISNIK</w:t>
      </w:r>
    </w:p>
    <w:p>
      <w:pPr>
        <w:tabs>
          <w:tab w:val="right" w:pos="453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redne seje Statutarno-pravne komisije, </w:t>
      </w:r>
    </w:p>
    <w:p>
      <w:pPr>
        <w:tabs>
          <w:tab w:val="right" w:pos="453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 je potekala v četrtek, dne 19. 9. 2024 ob 19:00 uri v sejni sobi Občine Vitanje.</w:t>
      </w:r>
    </w:p>
    <w:p>
      <w:pPr>
        <w:tabs>
          <w:tab w:val="right" w:pos="4537"/>
        </w:tabs>
        <w:jc w:val="both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Prisotni člani komisije:</w:t>
      </w:r>
      <w:r>
        <w:rPr>
          <w:rFonts w:ascii="Times New Roman" w:hAnsi="Times New Roman"/>
        </w:rPr>
        <w:t xml:space="preserve"> Viktorija Kričaj, Nina  Klemenc, Janez Kričaj in Roman Kotnik.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Ostali prisotni: </w:t>
      </w:r>
      <w:r>
        <w:rPr>
          <w:rFonts w:ascii="Times New Roman" w:hAnsi="Times New Roman"/>
        </w:rPr>
        <w:t xml:space="preserve">Ivica Žerdoner iz občinske uprave .  </w:t>
      </w:r>
    </w:p>
    <w:p>
      <w:pPr>
        <w:rPr>
          <w:rFonts w:ascii="Times New Roman" w:hAnsi="Times New Roman"/>
        </w:rPr>
      </w:pPr>
    </w:p>
    <w:p>
      <w:pPr>
        <w:tabs>
          <w:tab w:val="right" w:pos="4537"/>
        </w:tabs>
        <w:jc w:val="both"/>
        <w:rPr>
          <w:b/>
        </w:rPr>
      </w:pPr>
      <w:r>
        <w:rPr>
          <w:rFonts w:ascii="Times New Roman" w:hAnsi="Times New Roman"/>
          <w:b/>
          <w:u w:val="single"/>
        </w:rPr>
        <w:t>Predlagan dnevni red:</w:t>
      </w:r>
    </w:p>
    <w:p>
      <w:pPr>
        <w:pStyle w:val="Naslov1"/>
        <w:jc w:val="left"/>
      </w:pPr>
      <w:r>
        <w:t xml:space="preserve">1. Ugotovitev navzočnosti in potrditev zapisnika 3 seje. </w:t>
      </w:r>
    </w:p>
    <w:p>
      <w:pPr>
        <w:pStyle w:val="Naslov1"/>
        <w:jc w:val="left"/>
      </w:pPr>
      <w:r>
        <w:t xml:space="preserve">2. </w:t>
      </w:r>
      <w:r>
        <w:tab/>
        <w:t>Seznanitev z dopisoma Ministrstva za javno upravo glede nespoštovanja enakosti volilne pravice pri določanju volilnih enot za volitve v občinski svet Občine Vitanje z dne 10. 1. 2024 in 22. 8. 2024,</w:t>
      </w:r>
    </w:p>
    <w:p>
      <w:pPr>
        <w:pStyle w:val="Naslov1"/>
        <w:jc w:val="left"/>
      </w:pPr>
      <w:r>
        <w:t>3.</w:t>
      </w:r>
      <w:r>
        <w:tab/>
        <w:t xml:space="preserve"> Obravnava predloga za uskladitev Volilnih enot Občine Vitanje in Odloka o določitvi volilnih enot za volitve članov Občinskega sveta Občine Vitanje (Ur. l. RS, štev. 54/06), </w:t>
      </w:r>
    </w:p>
    <w:p>
      <w:pPr>
        <w:pStyle w:val="Naslov1"/>
        <w:jc w:val="left"/>
      </w:pPr>
      <w:r>
        <w:t>4. Razno.</w:t>
      </w:r>
    </w:p>
    <w:p>
      <w:pPr>
        <w:pStyle w:val="Naslov1"/>
        <w:jc w:val="left"/>
      </w:pPr>
    </w:p>
    <w:p>
      <w:pPr>
        <w:pStyle w:val="Naslov1"/>
      </w:pPr>
    </w:p>
    <w:p>
      <w:pPr>
        <w:pStyle w:val="Naslov1"/>
      </w:pPr>
      <w:r>
        <w:t xml:space="preserve">K tč. 1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sz w:val="24"/>
          <w:szCs w:val="24"/>
        </w:rPr>
        <w:t>Predsednik Janez Kričaj ugotovi navzočnost vseh štirih članov, sklepčnost je zagotovljena. Prebere dnevni red, člani se strinjajo s predlaganim dnevnim redom. Potrdi se tudi zapisnik prejšnje seje.</w:t>
      </w:r>
    </w:p>
    <w:p>
      <w:pPr>
        <w:rPr>
          <w:rFonts w:ascii="Times New Roman" w:hAnsi="Times New Roman"/>
        </w:rPr>
      </w:pPr>
    </w:p>
    <w:p>
      <w:pPr>
        <w:pStyle w:val="Naslov1"/>
      </w:pPr>
      <w:r>
        <w:t xml:space="preserve">K tč. 2 in 3. </w:t>
      </w:r>
    </w:p>
    <w:p>
      <w:pPr>
        <w:pStyle w:val="Naslov1"/>
        <w:jc w:val="left"/>
      </w:pPr>
      <w:r>
        <w:t xml:space="preserve">Seznanitev z dopisoma Ministrstva za javno upravo glede nespoštovanja enakosti volilne pravice pri določanju volilnih enot za volitve v občinski svet Občine Vitanje z dne 10. 1. 2024 in 22. 8. 2024 in obravnava predloga za uskladitev Volilnih enot Občine Vitanje in Odloka o določitvi volilnih enot za volitve članov Občinskega sveta Občine Vitanje (Ur. l. RS, štev. 54/06),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Predsednik Janez Kričaj je predstavil tematiko v zvezi s prejetim dopisom s strani ministrstva za javno upravo glede nespoštovanja enakosti volilne pravice pri določanju volilnih enot za volitve v občinski svet Občine Vitanje.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Pričela se je razprava na podlagi priloženega dokumenta s podatki o trenutnih območjih volilnih enot v Občini Vitanje z možnim predlogom.  Ugotovilo se je, da združitev dveh volilnih enot v eno ni možna zaradi določbe 21. člena ZLV. V debati se je pogovarjalo tudi o raznih možnostih in sicer o manj drastičnih sprememb do določitev volilnih enot na podlagi geografske pripadnosti in ali je za spremembe potrebno sklicati občni zbor…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Komisija je tako sprejela naslednje ugotovitve: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Obstoječi odlok o določitvi volilnih enot za volitve članov Občinskega sveta Občine Vitanje je tako neskladen z zakonom o lokalnih volitvah in ustavo RS na podlagi načela, da se en član občinskega sveta voli na približno enako število prebivalcev oz. volilnih upravičencev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lastRenderedPageBreak/>
        <w:t xml:space="preserve">Preveri se preoblikovanje volilne enote oz. prestavitev sedanjih volilnih upravičencev v drugo volilno enoto ali lahko to naredi občinski svet z spremembo/dopolnitvijo obstoječega odloka ali je potrebno sklicati zbor občanov. 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Pripravi se več predlogov za obravnavo na občinskem svetu.</w:t>
      </w:r>
    </w:p>
    <w:p>
      <w:pPr>
        <w:pStyle w:val="Style7"/>
        <w:widowControl/>
        <w:numPr>
          <w:ilvl w:val="0"/>
          <w:numId w:val="1"/>
        </w:numPr>
        <w:tabs>
          <w:tab w:val="left" w:pos="658"/>
        </w:tabs>
        <w:spacing w:line="240" w:lineRule="auto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Pogovor se je navezal tudi na določilo Zakona o lokalnih volitvah o eni volilni enoti, ki ima  7 svetnikov v primeru večinskega sistema.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 xml:space="preserve">Sklep: Statutarno pravna komisija je ugotovila neskladnost Odloka o določitvi volilnih enot za volitve članov Občinskega sveta Občine Vitanje (Ur. l. RS, štev. 54/06) z obstoječo zakonodajo ter ustavo ter predlaga, da se neskladnost odpravi. Skladno z ugotovitvijo komisije se preveri vprašanje na ministrstvu ter pripravi možne predloge za obravnavo na občinskem svetu.  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b/>
          <w:sz w:val="24"/>
          <w:szCs w:val="24"/>
        </w:rPr>
      </w:pPr>
      <w:bookmarkStart w:id="1" w:name="_GoBack"/>
      <w:bookmarkEnd w:id="1"/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Razno: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Za to točko ni bilo predlogov. </w:t>
      </w:r>
    </w:p>
    <w:p>
      <w:pPr>
        <w:pStyle w:val="Style7"/>
        <w:widowControl/>
        <w:tabs>
          <w:tab w:val="left" w:pos="658"/>
        </w:tabs>
        <w:spacing w:line="240" w:lineRule="auto"/>
        <w:ind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Seja se je zaključila ob 21.20 uri.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Zapisala:</w:t>
      </w:r>
      <w:r>
        <w:rPr>
          <w:rFonts w:ascii="Times New Roman" w:hAnsi="Times New Roman" w:cs="Times New Roman"/>
        </w:rPr>
        <w:tab/>
        <w:t xml:space="preserve">                                                       Predsednik Statutarno-pravne komisije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Ivica Žerdoner                                                                              Janez Kričaj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</w:r>
    </w:p>
    <w:p>
      <w:pPr>
        <w:rPr>
          <w:rFonts w:ascii="Times New Roman" w:hAnsi="Times New Roman"/>
        </w:rPr>
      </w:pPr>
    </w:p>
    <w:p/>
    <w:sectPr>
      <w:headerReference w:type="default" r:id="rId14"/>
      <w:footerReference w:type="default" r:id="rId15"/>
      <w:pgSz w:w="11906" w:h="16838"/>
      <w:pgMar w:top="1134" w:right="1021" w:bottom="1134" w:left="136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Noga"/>
      <w:jc w:val="center"/>
      <w:rPr>
        <w:rFonts w:ascii="Times New Roman" w:hAnsi="Times New Roman"/>
        <w:sz w:val="20"/>
      </w:rPr>
    </w:pPr>
    <w:r>
      <w:rPr>
        <w:rStyle w:val="tevilkastrani"/>
        <w:rFonts w:ascii="Times New Roman" w:hAnsi="Times New Roman"/>
        <w:sz w:val="20"/>
      </w:rPr>
      <w:fldChar w:fldCharType="begin"/>
    </w:r>
    <w:r>
      <w:rPr>
        <w:rStyle w:val="tevilkastrani"/>
        <w:rFonts w:ascii="Times New Roman" w:hAnsi="Times New Roman"/>
        <w:sz w:val="20"/>
      </w:rPr>
      <w:instrText xml:space="preserve"> PAGE </w:instrText>
    </w:r>
    <w:r>
      <w:rPr>
        <w:rStyle w:val="tevilkastrani"/>
        <w:rFonts w:ascii="Times New Roman" w:hAnsi="Times New Roman"/>
        <w:sz w:val="20"/>
      </w:rPr>
      <w:fldChar w:fldCharType="separate"/>
    </w:r>
    <w:r>
      <w:rPr>
        <w:rStyle w:val="tevilkastrani"/>
        <w:rFonts w:ascii="Times New Roman" w:hAnsi="Times New Roman"/>
        <w:noProof/>
        <w:sz w:val="20"/>
      </w:rPr>
      <w:t>2</w:t>
    </w:r>
    <w:r>
      <w:rPr>
        <w:rStyle w:val="tevilkastrani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Glav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E7032"/>
    <w:multiLevelType w:val="hybridMultilevel"/>
    <w:tmpl w:val="E0466202"/>
    <w:lvl w:ilvl="0" w:tplc="B65A34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EB473E-361C-42C4-A0DB-687B0604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Arial" w:eastAsia="Times New Roman" w:hAnsi="Arial" w:cs="Arial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pPr>
      <w:keepNext/>
      <w:tabs>
        <w:tab w:val="right" w:pos="4537"/>
      </w:tabs>
      <w:jc w:val="center"/>
      <w:outlineLvl w:val="0"/>
    </w:pPr>
    <w:rPr>
      <w:rFonts w:ascii="Times New Roman" w:hAnsi="Times New Roman" w:cs="Times New Roman"/>
      <w:b/>
      <w:bCs/>
    </w:rPr>
  </w:style>
  <w:style w:type="paragraph" w:styleId="Naslov2">
    <w:name w:val="heading 2"/>
    <w:basedOn w:val="Navaden"/>
    <w:next w:val="Navaden"/>
    <w:link w:val="Naslov2Znak"/>
    <w:qFormat/>
    <w:pPr>
      <w:keepNext/>
      <w:jc w:val="both"/>
      <w:outlineLvl w:val="1"/>
    </w:pPr>
    <w:rPr>
      <w:rFonts w:ascii="Times New Roman" w:hAnsi="Times New Roman" w:cs="Times New Roman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itanjan">
    <w:name w:val="Vitanjčan"/>
    <w:qFormat/>
    <w:pPr>
      <w:spacing w:line="340" w:lineRule="exact"/>
      <w:jc w:val="both"/>
    </w:pPr>
    <w:rPr>
      <w:rFonts w:ascii="Arial" w:hAnsi="Arial" w:cs="Arial"/>
      <w:bCs/>
      <w:sz w:val="24"/>
      <w:szCs w:val="24"/>
    </w:rPr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Monotype Corsiva" w:hAnsi="Monotype Corsiva"/>
      <w:i/>
      <w:color w:val="003366"/>
      <w:sz w:val="32"/>
      <w:szCs w:val="32"/>
      <w:lang w:eastAsia="en-US"/>
    </w:rPr>
  </w:style>
  <w:style w:type="character" w:customStyle="1" w:styleId="Naslov1Znak">
    <w:name w:val="Naslov 1 Znak"/>
    <w:basedOn w:val="Privzetapisavaodstavka"/>
    <w:link w:val="Naslov1"/>
    <w:rPr>
      <w:rFonts w:eastAsia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Pr>
      <w:rFonts w:eastAsia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Pr>
      <w:rFonts w:ascii="Arial" w:eastAsia="Times New Roman" w:hAnsi="Arial" w:cs="Arial"/>
      <w:sz w:val="24"/>
      <w:szCs w:val="24"/>
      <w:lang w:eastAsia="sl-SI"/>
    </w:rPr>
  </w:style>
  <w:style w:type="character" w:styleId="tevilkastrani">
    <w:name w:val="page number"/>
    <w:basedOn w:val="Privzetapisavaodstavka"/>
  </w:style>
  <w:style w:type="character" w:styleId="Hiperpovezava">
    <w:name w:val="Hyperlink"/>
    <w:rPr>
      <w:color w:val="0000FF"/>
      <w:u w:val="single"/>
    </w:rPr>
  </w:style>
  <w:style w:type="paragraph" w:customStyle="1" w:styleId="Style7">
    <w:name w:val="Style7"/>
    <w:basedOn w:val="Navaden"/>
    <w:uiPriority w:val="99"/>
    <w:pPr>
      <w:widowControl w:val="0"/>
      <w:autoSpaceDE w:val="0"/>
      <w:autoSpaceDN w:val="0"/>
      <w:adjustRightInd w:val="0"/>
      <w:spacing w:line="269" w:lineRule="exact"/>
      <w:ind w:hanging="379"/>
    </w:pPr>
    <w:rPr>
      <w:rFonts w:ascii="Times New Roman" w:hAnsi="Times New Roman" w:cs="Times New Roman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itanje.s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vitanje.s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Props1.xml><?xml version="1.0" encoding="utf-8"?>
<ds:datastoreItem xmlns:ds="http://schemas.openxmlformats.org/officeDocument/2006/customXml" ds:itemID="{B34F30B5-23DA-4F85-B95A-AFEA0E1AC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F929A-3EFA-4C7F-8400-5BD0BDEE6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03BF50-E187-4D9F-AF3D-9224D535B915}">
  <ds:schemaRefs>
    <ds:schemaRef ds:uri="http://purl.org/dc/terms/"/>
    <ds:schemaRef ds:uri="http://schemas.microsoft.com/office/infopath/2007/PartnerControls"/>
    <ds:schemaRef ds:uri="http://purl.org/dc/elements/1.1/"/>
    <ds:schemaRef ds:uri="26b73612-1c69-4ac2-a2b8-0d44efe707ff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Žerdoner</dc:creator>
  <cp:keywords/>
  <dc:description/>
  <cp:lastModifiedBy>Ivica Žerdoner</cp:lastModifiedBy>
  <cp:revision>2</cp:revision>
  <dcterms:created xsi:type="dcterms:W3CDTF">2024-10-02T13:05:00Z</dcterms:created>
  <dcterms:modified xsi:type="dcterms:W3CDTF">2024-10-02T13:05:00Z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